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3A10" w14:textId="2E44097B" w:rsidR="009B7436" w:rsidRPr="00871F9C" w:rsidRDefault="00871F9C" w:rsidP="009B7436">
      <w:pPr>
        <w:pStyle w:val="NormalWeb"/>
        <w:spacing w:before="240" w:beforeAutospacing="0" w:after="45" w:afterAutospacing="0" w:line="336" w:lineRule="atLeast"/>
        <w:rPr>
          <w:sz w:val="32"/>
          <w:szCs w:val="32"/>
        </w:rPr>
      </w:pPr>
      <w:r w:rsidRPr="00871F9C">
        <w:rPr>
          <w:sz w:val="32"/>
          <w:szCs w:val="32"/>
        </w:rPr>
        <w:t>Winter Weed</w:t>
      </w:r>
      <w:r w:rsidR="00DC566A">
        <w:rPr>
          <w:sz w:val="32"/>
          <w:szCs w:val="32"/>
        </w:rPr>
        <w:t>s</w:t>
      </w:r>
      <w:bookmarkStart w:id="0" w:name="_GoBack"/>
      <w:bookmarkEnd w:id="0"/>
      <w:r w:rsidRPr="00871F9C">
        <w:rPr>
          <w:sz w:val="32"/>
          <w:szCs w:val="32"/>
        </w:rPr>
        <w:t>: Do they Matter?</w:t>
      </w:r>
    </w:p>
    <w:p w14:paraId="04328AF4" w14:textId="77777777" w:rsidR="003C50D8" w:rsidRDefault="003C50D8" w:rsidP="009B7436">
      <w:pPr>
        <w:pStyle w:val="NormalWeb"/>
        <w:spacing w:before="240" w:beforeAutospacing="0" w:after="45" w:afterAutospacing="0" w:line="336" w:lineRule="atLeast"/>
      </w:pPr>
    </w:p>
    <w:p w14:paraId="127B4273" w14:textId="77777777" w:rsidR="003C50D8" w:rsidRPr="003C50D8" w:rsidRDefault="003C50D8" w:rsidP="003C50D8">
      <w:r w:rsidRPr="003C50D8">
        <w:t xml:space="preserve">Contact: Lane Dunn 936.598.7744 </w:t>
      </w:r>
      <w:hyperlink r:id="rId4" w:history="1">
        <w:r w:rsidRPr="003C50D8">
          <w:rPr>
            <w:color w:val="0000FF"/>
            <w:u w:val="single"/>
          </w:rPr>
          <w:t>jldunn@ag.tamu.edu</w:t>
        </w:r>
      </w:hyperlink>
    </w:p>
    <w:p w14:paraId="0E835164" w14:textId="7AE1019C" w:rsidR="009B7436" w:rsidRDefault="009B7436" w:rsidP="009B7436">
      <w:pPr>
        <w:pStyle w:val="NormalWeb"/>
        <w:spacing w:line="336" w:lineRule="auto"/>
        <w:rPr>
          <w:rFonts w:ascii="Georgia" w:hAnsi="Georgia"/>
          <w:color w:val="000000"/>
          <w:sz w:val="20"/>
          <w:szCs w:val="20"/>
        </w:rPr>
      </w:pPr>
      <w:r>
        <w:rPr>
          <w:rFonts w:ascii="Georgia" w:hAnsi="Georgia"/>
          <w:color w:val="000000"/>
          <w:sz w:val="20"/>
          <w:szCs w:val="20"/>
        </w:rPr>
        <w:t xml:space="preserve">As forage producers, we focus most of our energy on our warm season perennial pastures and hay meadows (bermudagrass, </w:t>
      </w:r>
      <w:proofErr w:type="spellStart"/>
      <w:r>
        <w:rPr>
          <w:rFonts w:ascii="Georgia" w:hAnsi="Georgia"/>
          <w:color w:val="000000"/>
          <w:sz w:val="20"/>
          <w:szCs w:val="20"/>
        </w:rPr>
        <w:t>bahiagrass</w:t>
      </w:r>
      <w:proofErr w:type="spellEnd"/>
      <w:r>
        <w:rPr>
          <w:rFonts w:ascii="Georgia" w:hAnsi="Georgia"/>
          <w:color w:val="000000"/>
          <w:sz w:val="20"/>
          <w:szCs w:val="20"/>
        </w:rPr>
        <w:t>, etc.). That means most of our weed control efforts are also focused on warm season weeds (such as</w:t>
      </w:r>
      <w:r w:rsidR="003C50D8">
        <w:rPr>
          <w:rFonts w:ascii="Georgia" w:hAnsi="Georgia"/>
          <w:color w:val="000000"/>
          <w:sz w:val="20"/>
          <w:szCs w:val="20"/>
        </w:rPr>
        <w:t xml:space="preserve"> </w:t>
      </w:r>
      <w:proofErr w:type="spellStart"/>
      <w:r w:rsidR="003C50D8">
        <w:rPr>
          <w:rFonts w:ascii="Georgia" w:hAnsi="Georgia"/>
          <w:color w:val="000000"/>
          <w:sz w:val="20"/>
          <w:szCs w:val="20"/>
        </w:rPr>
        <w:t>carolina</w:t>
      </w:r>
      <w:proofErr w:type="spellEnd"/>
      <w:r w:rsidR="003C50D8">
        <w:rPr>
          <w:rFonts w:ascii="Georgia" w:hAnsi="Georgia"/>
          <w:color w:val="000000"/>
          <w:sz w:val="20"/>
          <w:szCs w:val="20"/>
        </w:rPr>
        <w:t xml:space="preserve"> </w:t>
      </w:r>
      <w:proofErr w:type="spellStart"/>
      <w:r w:rsidR="003C50D8">
        <w:rPr>
          <w:rFonts w:ascii="Georgia" w:hAnsi="Georgia"/>
          <w:color w:val="000000"/>
          <w:sz w:val="20"/>
          <w:szCs w:val="20"/>
        </w:rPr>
        <w:t>horsenettle</w:t>
      </w:r>
      <w:proofErr w:type="spellEnd"/>
      <w:r>
        <w:rPr>
          <w:rFonts w:ascii="Georgia" w:hAnsi="Georgia"/>
          <w:color w:val="000000"/>
          <w:sz w:val="20"/>
          <w:szCs w:val="20"/>
        </w:rPr>
        <w:t xml:space="preserve">, blackberry, </w:t>
      </w:r>
      <w:proofErr w:type="spellStart"/>
      <w:r>
        <w:rPr>
          <w:rFonts w:ascii="Georgia" w:hAnsi="Georgia"/>
          <w:color w:val="000000"/>
          <w:sz w:val="20"/>
          <w:szCs w:val="20"/>
        </w:rPr>
        <w:t>etc</w:t>
      </w:r>
      <w:proofErr w:type="spellEnd"/>
      <w:r>
        <w:rPr>
          <w:rFonts w:ascii="Georgia" w:hAnsi="Georgia"/>
          <w:color w:val="000000"/>
          <w:sz w:val="20"/>
          <w:szCs w:val="20"/>
        </w:rPr>
        <w:t>). Unfortunately, cool season weeds can be just as detrimental to our warm season perennial forages. </w:t>
      </w:r>
    </w:p>
    <w:p w14:paraId="5A23F997" w14:textId="2507B483" w:rsidR="009B7436" w:rsidRDefault="009B7436" w:rsidP="009B7436">
      <w:pPr>
        <w:pStyle w:val="NormalWeb"/>
        <w:spacing w:line="336" w:lineRule="auto"/>
        <w:rPr>
          <w:rFonts w:ascii="Georgia" w:hAnsi="Georgia"/>
          <w:color w:val="000000"/>
          <w:sz w:val="20"/>
          <w:szCs w:val="20"/>
        </w:rPr>
      </w:pPr>
      <w:r>
        <w:rPr>
          <w:rStyle w:val="Strong"/>
          <w:rFonts w:ascii="Georgia" w:hAnsi="Georgia"/>
          <w:color w:val="000000"/>
          <w:sz w:val="20"/>
          <w:szCs w:val="20"/>
        </w:rPr>
        <w:t>Annual ryegrass</w:t>
      </w:r>
      <w:r>
        <w:rPr>
          <w:rFonts w:ascii="Georgia" w:hAnsi="Georgia"/>
          <w:color w:val="000000"/>
          <w:sz w:val="20"/>
          <w:szCs w:val="20"/>
        </w:rPr>
        <w:t xml:space="preserve">…a cool season annual forage often utilized by livestock producers for winter grazing. However, it’s often deemed an enemy of many a hay producer in East Texas. Later maturity of annual ryegrass can delay or prevent our warm season perennial forages from breaking dormancy in April/May therefore delaying our initial hay cutting. There are multiple ways to manage unwanted ryegrass. Use of herbicides to control annual ryegrass is probably the most common method practiced. Pendimethalin can be used as a pre-emergent herbicide for dormant bermudagrass and </w:t>
      </w:r>
      <w:proofErr w:type="spellStart"/>
      <w:r>
        <w:rPr>
          <w:rFonts w:ascii="Georgia" w:hAnsi="Georgia"/>
          <w:color w:val="000000"/>
          <w:sz w:val="20"/>
          <w:szCs w:val="20"/>
        </w:rPr>
        <w:t>bahiagrass</w:t>
      </w:r>
      <w:proofErr w:type="spellEnd"/>
      <w:r>
        <w:rPr>
          <w:rFonts w:ascii="Georgia" w:hAnsi="Georgia"/>
          <w:color w:val="000000"/>
          <w:sz w:val="20"/>
          <w:szCs w:val="20"/>
        </w:rPr>
        <w:t xml:space="preserve"> pastures and hay meadows. Glyphosate; </w:t>
      </w:r>
      <w:proofErr w:type="spellStart"/>
      <w:r>
        <w:rPr>
          <w:rFonts w:ascii="Georgia" w:hAnsi="Georgia"/>
          <w:color w:val="000000"/>
          <w:sz w:val="20"/>
          <w:szCs w:val="20"/>
        </w:rPr>
        <w:t>metsulfuron</w:t>
      </w:r>
      <w:proofErr w:type="spellEnd"/>
      <w:r>
        <w:rPr>
          <w:rFonts w:ascii="Georgia" w:hAnsi="Georgia"/>
          <w:color w:val="000000"/>
          <w:sz w:val="20"/>
          <w:szCs w:val="20"/>
        </w:rPr>
        <w:t xml:space="preserve"> and </w:t>
      </w:r>
      <w:proofErr w:type="spellStart"/>
      <w:r>
        <w:rPr>
          <w:rFonts w:ascii="Georgia" w:hAnsi="Georgia"/>
          <w:color w:val="000000"/>
          <w:sz w:val="20"/>
          <w:szCs w:val="20"/>
        </w:rPr>
        <w:t>nicosulfuron</w:t>
      </w:r>
      <w:proofErr w:type="spellEnd"/>
      <w:r>
        <w:rPr>
          <w:rFonts w:ascii="Georgia" w:hAnsi="Georgia"/>
          <w:color w:val="000000"/>
          <w:sz w:val="20"/>
          <w:szCs w:val="20"/>
        </w:rPr>
        <w:t xml:space="preserve"> are post emergent herbicide options. </w:t>
      </w:r>
    </w:p>
    <w:p w14:paraId="312AEF19" w14:textId="77777777" w:rsidR="009B7436" w:rsidRDefault="009B7436" w:rsidP="009B7436">
      <w:pPr>
        <w:pStyle w:val="NormalWeb"/>
        <w:spacing w:line="336" w:lineRule="auto"/>
        <w:rPr>
          <w:rFonts w:ascii="Georgia" w:hAnsi="Georgia"/>
          <w:color w:val="000000"/>
          <w:sz w:val="20"/>
          <w:szCs w:val="20"/>
        </w:rPr>
      </w:pPr>
      <w:r>
        <w:rPr>
          <w:rStyle w:val="Strong"/>
          <w:rFonts w:ascii="Georgia" w:hAnsi="Georgia"/>
          <w:color w:val="000000"/>
          <w:sz w:val="20"/>
          <w:szCs w:val="20"/>
        </w:rPr>
        <w:t>Henbit</w:t>
      </w:r>
      <w:r>
        <w:rPr>
          <w:rFonts w:ascii="Georgia" w:hAnsi="Georgia"/>
          <w:color w:val="000000"/>
          <w:sz w:val="20"/>
          <w:szCs w:val="20"/>
        </w:rPr>
        <w:t xml:space="preserve"> is a plant that is not generally considered a pasture weed. It can become a major competitor with bermudagrass in the early spring for moisture and nutrients. 2,4-D alone is not highly effective against henbit. However, </w:t>
      </w:r>
      <w:proofErr w:type="spellStart"/>
      <w:r>
        <w:rPr>
          <w:rFonts w:ascii="Georgia" w:hAnsi="Georgia"/>
          <w:color w:val="000000"/>
          <w:sz w:val="20"/>
          <w:szCs w:val="20"/>
        </w:rPr>
        <w:t>glyhphosate</w:t>
      </w:r>
      <w:proofErr w:type="spellEnd"/>
      <w:r>
        <w:rPr>
          <w:rFonts w:ascii="Georgia" w:hAnsi="Georgia"/>
          <w:color w:val="000000"/>
          <w:sz w:val="20"/>
          <w:szCs w:val="20"/>
        </w:rPr>
        <w:t xml:space="preserve"> in the dormant season; mixtures of 2,4-D and glyphosate; and mixtures of 2,4-D and dicamba, picloram, aminopyralid, and </w:t>
      </w:r>
      <w:proofErr w:type="spellStart"/>
      <w:r>
        <w:rPr>
          <w:rFonts w:ascii="Georgia" w:hAnsi="Georgia"/>
          <w:color w:val="000000"/>
          <w:sz w:val="20"/>
          <w:szCs w:val="20"/>
        </w:rPr>
        <w:t>metsulfuron</w:t>
      </w:r>
      <w:proofErr w:type="spellEnd"/>
      <w:r>
        <w:rPr>
          <w:rFonts w:ascii="Georgia" w:hAnsi="Georgia"/>
          <w:color w:val="000000"/>
          <w:sz w:val="20"/>
          <w:szCs w:val="20"/>
        </w:rPr>
        <w:t>; are quite effective against henbit. Henbit is a cool season annual and should be sprayed when it is small for best results.</w:t>
      </w:r>
    </w:p>
    <w:p w14:paraId="5723525F" w14:textId="77777777" w:rsidR="009B7436" w:rsidRDefault="009B7436" w:rsidP="009B7436">
      <w:pPr>
        <w:spacing w:line="336" w:lineRule="auto"/>
        <w:rPr>
          <w:rFonts w:ascii="Georgia" w:eastAsia="Times New Roman" w:hAnsi="Georgia"/>
          <w:color w:val="000000"/>
          <w:sz w:val="20"/>
          <w:szCs w:val="20"/>
        </w:rPr>
      </w:pPr>
      <w:r>
        <w:rPr>
          <w:rFonts w:ascii="Georgia" w:eastAsia="Times New Roman" w:hAnsi="Georgia"/>
          <w:b/>
          <w:bCs/>
          <w:noProof/>
          <w:color w:val="000099"/>
          <w:sz w:val="20"/>
          <w:szCs w:val="20"/>
        </w:rPr>
        <w:drawing>
          <wp:inline distT="0" distB="0" distL="0" distR="0" wp14:anchorId="2AA5B091" wp14:editId="31737455">
            <wp:extent cx="2857500" cy="1531620"/>
            <wp:effectExtent l="0" t="0" r="0" b="0"/>
            <wp:docPr id="3" name="Picture 3" descr="https://foragefax.tamu.edu/files/2018/02/IMG_6580-2-300x16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agefax.tamu.edu/files/2018/02/IMG_6580-2-300x1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31620"/>
                    </a:xfrm>
                    <a:prstGeom prst="rect">
                      <a:avLst/>
                    </a:prstGeom>
                    <a:noFill/>
                    <a:ln>
                      <a:noFill/>
                    </a:ln>
                  </pic:spPr>
                </pic:pic>
              </a:graphicData>
            </a:graphic>
          </wp:inline>
        </w:drawing>
      </w:r>
    </w:p>
    <w:p w14:paraId="011BDA83" w14:textId="77777777" w:rsidR="009B7436" w:rsidRDefault="009B7436" w:rsidP="009B7436">
      <w:pPr>
        <w:pStyle w:val="wp-caption-text"/>
        <w:spacing w:line="336" w:lineRule="auto"/>
        <w:rPr>
          <w:rFonts w:ascii="Georgia" w:hAnsi="Georgia"/>
          <w:color w:val="000000"/>
          <w:sz w:val="20"/>
          <w:szCs w:val="20"/>
        </w:rPr>
      </w:pPr>
      <w:r>
        <w:rPr>
          <w:rFonts w:ascii="Georgia" w:hAnsi="Georgia"/>
          <w:color w:val="000000"/>
          <w:sz w:val="20"/>
          <w:szCs w:val="20"/>
        </w:rPr>
        <w:t>Henbit</w:t>
      </w:r>
    </w:p>
    <w:p w14:paraId="249A7875" w14:textId="77777777" w:rsidR="009B7436" w:rsidRDefault="009B7436" w:rsidP="009B7436">
      <w:pPr>
        <w:pStyle w:val="NormalWeb"/>
        <w:spacing w:line="336" w:lineRule="auto"/>
        <w:rPr>
          <w:rFonts w:ascii="Georgia" w:hAnsi="Georgia"/>
          <w:color w:val="000000"/>
          <w:sz w:val="20"/>
          <w:szCs w:val="20"/>
        </w:rPr>
      </w:pPr>
      <w:r>
        <w:rPr>
          <w:rFonts w:ascii="Georgia" w:hAnsi="Georgia"/>
          <w:color w:val="000000"/>
          <w:sz w:val="20"/>
          <w:szCs w:val="20"/>
        </w:rPr>
        <w:t xml:space="preserve">If left uncontrolled, thick </w:t>
      </w:r>
      <w:r>
        <w:rPr>
          <w:rStyle w:val="Strong"/>
          <w:rFonts w:ascii="Georgia" w:hAnsi="Georgia"/>
          <w:color w:val="000000"/>
          <w:sz w:val="20"/>
          <w:szCs w:val="20"/>
        </w:rPr>
        <w:t>thistle</w:t>
      </w:r>
      <w:r>
        <w:rPr>
          <w:rFonts w:ascii="Georgia" w:hAnsi="Georgia"/>
          <w:color w:val="000000"/>
          <w:sz w:val="20"/>
          <w:szCs w:val="20"/>
        </w:rPr>
        <w:t xml:space="preserve"> stands can reduce grazing and result in less forage production. Best time to control with </w:t>
      </w:r>
      <w:proofErr w:type="gramStart"/>
      <w:r>
        <w:rPr>
          <w:rFonts w:ascii="Georgia" w:hAnsi="Georgia"/>
          <w:color w:val="000000"/>
          <w:sz w:val="20"/>
          <w:szCs w:val="20"/>
        </w:rPr>
        <w:t>a</w:t>
      </w:r>
      <w:proofErr w:type="gramEnd"/>
      <w:r>
        <w:rPr>
          <w:rFonts w:ascii="Georgia" w:hAnsi="Georgia"/>
          <w:color w:val="000000"/>
          <w:sz w:val="20"/>
          <w:szCs w:val="20"/>
        </w:rPr>
        <w:t xml:space="preserve"> herbicide is when thistles are in the rosette stage. The rosette stage is when the thistle forms a low-growing ring of leaves (November – March). If thistles have bolted or developed seed heads, they are much more difficult to control. Several broadleaf herbicides are effective against thistles if they are in the rosette stage (2,4-D alone; 2,4-D with picloram; dicamba or aminopyralid; </w:t>
      </w:r>
      <w:proofErr w:type="spellStart"/>
      <w:r>
        <w:rPr>
          <w:rFonts w:ascii="Georgia" w:hAnsi="Georgia"/>
          <w:color w:val="000000"/>
          <w:sz w:val="20"/>
          <w:szCs w:val="20"/>
        </w:rPr>
        <w:t>metsulfuron</w:t>
      </w:r>
      <w:proofErr w:type="spellEnd"/>
      <w:r>
        <w:rPr>
          <w:rFonts w:ascii="Georgia" w:hAnsi="Georgia"/>
          <w:color w:val="000000"/>
          <w:sz w:val="20"/>
          <w:szCs w:val="20"/>
        </w:rPr>
        <w:t xml:space="preserve"> methyl; or a combination of </w:t>
      </w:r>
      <w:proofErr w:type="spellStart"/>
      <w:r>
        <w:rPr>
          <w:rFonts w:ascii="Georgia" w:hAnsi="Georgia"/>
          <w:color w:val="000000"/>
          <w:sz w:val="20"/>
          <w:szCs w:val="20"/>
        </w:rPr>
        <w:t>metsulfuron</w:t>
      </w:r>
      <w:proofErr w:type="spellEnd"/>
      <w:r>
        <w:rPr>
          <w:rFonts w:ascii="Georgia" w:hAnsi="Georgia"/>
          <w:color w:val="000000"/>
          <w:sz w:val="20"/>
          <w:szCs w:val="20"/>
        </w:rPr>
        <w:t xml:space="preserve"> methyl with 2,4-D and dicamba).</w:t>
      </w:r>
    </w:p>
    <w:p w14:paraId="550BE211" w14:textId="77777777" w:rsidR="009B7436" w:rsidRDefault="009B7436" w:rsidP="009B7436">
      <w:pPr>
        <w:spacing w:line="336" w:lineRule="auto"/>
        <w:rPr>
          <w:rFonts w:ascii="Georgia" w:eastAsia="Times New Roman" w:hAnsi="Georgia"/>
          <w:color w:val="000000"/>
          <w:sz w:val="20"/>
          <w:szCs w:val="20"/>
        </w:rPr>
      </w:pPr>
      <w:r>
        <w:rPr>
          <w:rFonts w:ascii="Georgia" w:eastAsia="Times New Roman" w:hAnsi="Georgia"/>
          <w:b/>
          <w:bCs/>
          <w:noProof/>
          <w:color w:val="000099"/>
          <w:sz w:val="20"/>
          <w:szCs w:val="20"/>
        </w:rPr>
        <w:lastRenderedPageBreak/>
        <w:drawing>
          <wp:inline distT="0" distB="0" distL="0" distR="0" wp14:anchorId="3542A98F" wp14:editId="596FB421">
            <wp:extent cx="2857500" cy="2141220"/>
            <wp:effectExtent l="0" t="0" r="0" b="0"/>
            <wp:docPr id="2" name="Picture 2" descr="https://foragefax.tamu.edu/files/2013/02/DSCF1504-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agefax.tamu.edu/files/2013/02/DSCF1504-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64524B80" w14:textId="33A4BC5D" w:rsidR="009B7436" w:rsidRDefault="009B7436" w:rsidP="00871F9C">
      <w:pPr>
        <w:pStyle w:val="wp-caption-text"/>
        <w:spacing w:line="336" w:lineRule="auto"/>
        <w:rPr>
          <w:rFonts w:ascii="Georgia" w:hAnsi="Georgia"/>
          <w:color w:val="000000"/>
          <w:sz w:val="20"/>
          <w:szCs w:val="20"/>
        </w:rPr>
      </w:pPr>
      <w:r>
        <w:rPr>
          <w:rFonts w:ascii="Georgia" w:hAnsi="Georgia"/>
          <w:color w:val="000000"/>
          <w:sz w:val="20"/>
          <w:szCs w:val="20"/>
        </w:rPr>
        <w:t>Thistle in rosette stage </w:t>
      </w:r>
    </w:p>
    <w:p w14:paraId="44276BE7" w14:textId="29AB778D" w:rsidR="009B7436" w:rsidRDefault="009B7436" w:rsidP="009B7436">
      <w:pPr>
        <w:pStyle w:val="NormalWeb"/>
        <w:spacing w:line="336" w:lineRule="auto"/>
        <w:rPr>
          <w:rFonts w:ascii="Georgia" w:hAnsi="Georgia"/>
          <w:color w:val="000000"/>
          <w:sz w:val="20"/>
          <w:szCs w:val="20"/>
        </w:rPr>
      </w:pPr>
      <w:r>
        <w:rPr>
          <w:rStyle w:val="Strong"/>
          <w:rFonts w:ascii="Georgia" w:hAnsi="Georgia"/>
          <w:color w:val="000000"/>
          <w:sz w:val="20"/>
          <w:szCs w:val="20"/>
        </w:rPr>
        <w:t>Texas Groundsel</w:t>
      </w:r>
      <w:r>
        <w:rPr>
          <w:rFonts w:ascii="Georgia" w:hAnsi="Georgia"/>
          <w:color w:val="000000"/>
          <w:sz w:val="20"/>
          <w:szCs w:val="20"/>
        </w:rPr>
        <w:t xml:space="preserve"> or Texas squaw-weed is another common cool season annual weed. Control is less expensive and more likely if plants are treated while still in the rosette stage. Once the plant begins to bolt, more herbicide is required. 2,4-D alone can be effective if applied in the rosette stage. Other effective products include: 2,4-D and dicamba, 2,4-D and aminopyralid, aminopyralid, </w:t>
      </w:r>
      <w:proofErr w:type="spellStart"/>
      <w:r>
        <w:rPr>
          <w:rFonts w:ascii="Georgia" w:hAnsi="Georgia"/>
          <w:color w:val="000000"/>
          <w:sz w:val="20"/>
          <w:szCs w:val="20"/>
        </w:rPr>
        <w:t>metsulfuron</w:t>
      </w:r>
      <w:proofErr w:type="spellEnd"/>
      <w:r>
        <w:rPr>
          <w:rFonts w:ascii="Georgia" w:hAnsi="Georgia"/>
          <w:color w:val="000000"/>
          <w:sz w:val="20"/>
          <w:szCs w:val="20"/>
        </w:rPr>
        <w:t xml:space="preserve">, </w:t>
      </w:r>
      <w:proofErr w:type="spellStart"/>
      <w:r>
        <w:rPr>
          <w:rFonts w:ascii="Georgia" w:hAnsi="Georgia"/>
          <w:color w:val="000000"/>
          <w:sz w:val="20"/>
          <w:szCs w:val="20"/>
        </w:rPr>
        <w:t>metsulfuron</w:t>
      </w:r>
      <w:proofErr w:type="spellEnd"/>
      <w:r>
        <w:rPr>
          <w:rFonts w:ascii="Georgia" w:hAnsi="Georgia"/>
          <w:color w:val="000000"/>
          <w:sz w:val="20"/>
          <w:szCs w:val="20"/>
        </w:rPr>
        <w:t xml:space="preserve"> and </w:t>
      </w:r>
      <w:proofErr w:type="spellStart"/>
      <w:r>
        <w:rPr>
          <w:rFonts w:ascii="Georgia" w:hAnsi="Georgia"/>
          <w:color w:val="000000"/>
          <w:sz w:val="20"/>
          <w:szCs w:val="20"/>
        </w:rPr>
        <w:t>nicosulfuron</w:t>
      </w:r>
      <w:proofErr w:type="spellEnd"/>
      <w:r>
        <w:rPr>
          <w:rFonts w:ascii="Georgia" w:hAnsi="Georgia"/>
          <w:color w:val="000000"/>
          <w:sz w:val="20"/>
          <w:szCs w:val="20"/>
        </w:rPr>
        <w:t xml:space="preserve">, </w:t>
      </w:r>
      <w:proofErr w:type="spellStart"/>
      <w:r>
        <w:rPr>
          <w:rFonts w:ascii="Georgia" w:hAnsi="Georgia"/>
          <w:color w:val="000000"/>
          <w:sz w:val="20"/>
          <w:szCs w:val="20"/>
        </w:rPr>
        <w:t>metsulfuron</w:t>
      </w:r>
      <w:proofErr w:type="spellEnd"/>
      <w:r>
        <w:rPr>
          <w:rFonts w:ascii="Georgia" w:hAnsi="Georgia"/>
          <w:color w:val="000000"/>
          <w:sz w:val="20"/>
          <w:szCs w:val="20"/>
        </w:rPr>
        <w:t xml:space="preserve"> with 2,4-D and dicamba. </w:t>
      </w:r>
    </w:p>
    <w:p w14:paraId="3763672B" w14:textId="77777777" w:rsidR="009B7436" w:rsidRDefault="009B7436" w:rsidP="009B7436">
      <w:pPr>
        <w:pStyle w:val="NormalWeb"/>
        <w:spacing w:line="336" w:lineRule="auto"/>
        <w:rPr>
          <w:rFonts w:ascii="Georgia" w:hAnsi="Georgia"/>
          <w:color w:val="000000"/>
          <w:sz w:val="20"/>
          <w:szCs w:val="20"/>
        </w:rPr>
      </w:pPr>
      <w:r>
        <w:rPr>
          <w:rFonts w:ascii="Georgia" w:hAnsi="Georgia"/>
          <w:color w:val="000000"/>
          <w:sz w:val="20"/>
          <w:szCs w:val="20"/>
        </w:rPr>
        <w:t> </w:t>
      </w:r>
    </w:p>
    <w:p w14:paraId="7B79A5D3" w14:textId="77777777" w:rsidR="009B7436" w:rsidRDefault="009B7436" w:rsidP="009B7436">
      <w:pPr>
        <w:spacing w:line="336" w:lineRule="auto"/>
        <w:rPr>
          <w:rFonts w:ascii="Georgia" w:eastAsia="Times New Roman" w:hAnsi="Georgia"/>
          <w:color w:val="000000"/>
          <w:sz w:val="20"/>
          <w:szCs w:val="20"/>
        </w:rPr>
      </w:pPr>
      <w:r>
        <w:rPr>
          <w:rFonts w:ascii="Georgia" w:eastAsia="Times New Roman" w:hAnsi="Georgia"/>
          <w:b/>
          <w:bCs/>
          <w:noProof/>
          <w:color w:val="000099"/>
          <w:sz w:val="20"/>
          <w:szCs w:val="20"/>
        </w:rPr>
        <w:drawing>
          <wp:inline distT="0" distB="0" distL="0" distR="0" wp14:anchorId="2D5E4662" wp14:editId="14BEE2C3">
            <wp:extent cx="2857500" cy="2141220"/>
            <wp:effectExtent l="0" t="0" r="0" b="0"/>
            <wp:docPr id="1" name="Picture 1" descr="https://foragefax.tamu.edu/files/2013/02/2009_0401GrazingSchool0078-300x22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agefax.tamu.edu/files/2013/02/2009_0401GrazingSchool0078-300x2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731419CB" w14:textId="51DB0D28" w:rsidR="009B7436" w:rsidRDefault="009B7436" w:rsidP="00871F9C">
      <w:pPr>
        <w:pStyle w:val="wp-caption-text"/>
        <w:spacing w:line="336" w:lineRule="auto"/>
        <w:rPr>
          <w:rFonts w:ascii="Georgia" w:hAnsi="Georgia"/>
          <w:color w:val="000000"/>
          <w:sz w:val="20"/>
          <w:szCs w:val="20"/>
        </w:rPr>
      </w:pPr>
      <w:r>
        <w:rPr>
          <w:rFonts w:ascii="Georgia" w:hAnsi="Georgia"/>
          <w:color w:val="000000"/>
          <w:sz w:val="20"/>
          <w:szCs w:val="20"/>
        </w:rPr>
        <w:t>Mature Texas Groundsel </w:t>
      </w:r>
    </w:p>
    <w:p w14:paraId="652E6EE4" w14:textId="77777777" w:rsidR="009B7436" w:rsidRDefault="009B7436" w:rsidP="009B7436">
      <w:pPr>
        <w:pStyle w:val="NormalWeb"/>
        <w:spacing w:line="336" w:lineRule="auto"/>
        <w:rPr>
          <w:rFonts w:ascii="Georgia" w:hAnsi="Georgia"/>
          <w:color w:val="000000"/>
          <w:sz w:val="20"/>
          <w:szCs w:val="20"/>
        </w:rPr>
      </w:pPr>
      <w:r>
        <w:rPr>
          <w:rFonts w:ascii="Georgia" w:hAnsi="Georgia"/>
          <w:color w:val="000000"/>
          <w:sz w:val="20"/>
          <w:szCs w:val="20"/>
        </w:rPr>
        <w:t>Winter weeds are not a problem in all perennial warm-season pastures and hay meadows. Fields should be scouted to determine if treatment is warranted. In most cases, controlling winter weeds in summer perennial pastures involved an additional application since it is unlikely that an application during the dormant season will control summer weeds.</w:t>
      </w:r>
    </w:p>
    <w:p w14:paraId="4160FB44" w14:textId="77777777" w:rsidR="009B7436" w:rsidRDefault="009B7436" w:rsidP="009B7436">
      <w:pPr>
        <w:pStyle w:val="NormalWeb"/>
        <w:spacing w:line="336" w:lineRule="auto"/>
        <w:rPr>
          <w:rFonts w:ascii="Georgia" w:hAnsi="Georgia"/>
          <w:color w:val="000000"/>
          <w:sz w:val="20"/>
          <w:szCs w:val="20"/>
        </w:rPr>
      </w:pPr>
      <w:r>
        <w:rPr>
          <w:rFonts w:ascii="Georgia" w:hAnsi="Georgia"/>
          <w:color w:val="000000"/>
          <w:sz w:val="20"/>
          <w:szCs w:val="20"/>
        </w:rPr>
        <w:t> </w:t>
      </w:r>
    </w:p>
    <w:p w14:paraId="409442C2" w14:textId="77777777" w:rsidR="009B7436" w:rsidRDefault="009B7436" w:rsidP="009B7436">
      <w:pPr>
        <w:pStyle w:val="NormalWeb"/>
        <w:spacing w:line="336" w:lineRule="auto"/>
        <w:rPr>
          <w:rFonts w:ascii="Georgia" w:hAnsi="Georgia"/>
          <w:color w:val="000000"/>
          <w:sz w:val="20"/>
          <w:szCs w:val="20"/>
        </w:rPr>
      </w:pPr>
      <w:r>
        <w:rPr>
          <w:rStyle w:val="Strong"/>
          <w:rFonts w:ascii="Georgia" w:hAnsi="Georgia"/>
          <w:color w:val="000000"/>
          <w:sz w:val="20"/>
          <w:szCs w:val="20"/>
        </w:rPr>
        <w:lastRenderedPageBreak/>
        <w:t>Strict adherence to label directions is required by law</w:t>
      </w:r>
      <w:r>
        <w:rPr>
          <w:rFonts w:ascii="Georgia" w:hAnsi="Georgia"/>
          <w:color w:val="000000"/>
          <w:sz w:val="20"/>
          <w:szCs w:val="20"/>
        </w:rPr>
        <w:t>. Paying close attention to label directions will also ensure safe, effective and economical use. Herbicide labels contain directions for proper rate and timing of application, a list of susceptible species, and information regarding cleanup and disposal following use.</w:t>
      </w:r>
    </w:p>
    <w:p w14:paraId="4F2B755D" w14:textId="77777777" w:rsidR="003C50D8" w:rsidRPr="003C50D8" w:rsidRDefault="009B7436" w:rsidP="003C50D8">
      <w:pPr>
        <w:pStyle w:val="NormalWeb"/>
        <w:pBdr>
          <w:bottom w:val="dotted" w:sz="24" w:space="1" w:color="auto"/>
        </w:pBdr>
        <w:spacing w:line="336" w:lineRule="auto"/>
        <w:rPr>
          <w:rFonts w:ascii="Georgia" w:hAnsi="Georgia"/>
          <w:color w:val="000000"/>
          <w:sz w:val="20"/>
          <w:szCs w:val="20"/>
        </w:rPr>
      </w:pPr>
      <w:r>
        <w:rPr>
          <w:rFonts w:ascii="Georgia" w:hAnsi="Georgia"/>
          <w:color w:val="000000"/>
          <w:sz w:val="20"/>
          <w:szCs w:val="20"/>
        </w:rPr>
        <w:t> </w:t>
      </w:r>
    </w:p>
    <w:p w14:paraId="5142477A" w14:textId="77777777" w:rsidR="003C50D8" w:rsidRPr="003C50D8" w:rsidRDefault="003C50D8" w:rsidP="003C50D8">
      <w:r w:rsidRPr="003C50D8">
        <w:t xml:space="preserve">Lane Dunn is the County Extension Agent for agriculture and natural resources for Shelby County. His email address is </w:t>
      </w:r>
      <w:hyperlink r:id="rId11" w:history="1">
        <w:r w:rsidRPr="003C50D8">
          <w:rPr>
            <w:color w:val="0000FF"/>
            <w:u w:val="single"/>
          </w:rPr>
          <w:t>jldunn@ag.tamu.edu</w:t>
        </w:r>
      </w:hyperlink>
      <w:r w:rsidRPr="003C50D8">
        <w:t xml:space="preserve"> </w:t>
      </w:r>
    </w:p>
    <w:p w14:paraId="76BCF33A" w14:textId="77777777" w:rsidR="003C50D8" w:rsidRPr="003C50D8" w:rsidRDefault="003C50D8" w:rsidP="003C50D8">
      <w:pPr>
        <w:spacing w:before="100" w:beforeAutospacing="1" w:after="100" w:afterAutospacing="1" w:line="336" w:lineRule="auto"/>
        <w:rPr>
          <w:rFonts w:ascii="Georgia" w:hAnsi="Georgia"/>
          <w:color w:val="000000"/>
          <w:sz w:val="20"/>
          <w:szCs w:val="20"/>
        </w:rPr>
      </w:pPr>
      <w:r w:rsidRPr="003C50D8">
        <w:t xml:space="preserve">Educational programs of the Texas A&amp;M AgriLife Extension Service are open to all people without regard to race, color, sex, disability, religion, age, national origin, genetic information or veteran status.  The Texas A&amp;M University System, U.S. Department of Agriculture, and the County Commissioners Courts of Texas Cooperating.  </w:t>
      </w:r>
    </w:p>
    <w:p w14:paraId="12D1EB44" w14:textId="77777777" w:rsidR="009B7436" w:rsidRDefault="009B7436" w:rsidP="009B7436">
      <w:pPr>
        <w:pStyle w:val="NormalWeb"/>
        <w:spacing w:line="336" w:lineRule="auto"/>
        <w:rPr>
          <w:rFonts w:ascii="Georgia" w:hAnsi="Georgia"/>
          <w:color w:val="000000"/>
          <w:sz w:val="20"/>
          <w:szCs w:val="20"/>
        </w:rPr>
      </w:pPr>
    </w:p>
    <w:p w14:paraId="1A3B3A91" w14:textId="77777777" w:rsidR="009B7436" w:rsidRDefault="009B7436" w:rsidP="009B7436">
      <w:pPr>
        <w:pStyle w:val="NormalWeb"/>
        <w:spacing w:line="336" w:lineRule="auto"/>
        <w:rPr>
          <w:rFonts w:ascii="Georgia" w:hAnsi="Georgia"/>
          <w:color w:val="000000"/>
          <w:sz w:val="20"/>
          <w:szCs w:val="20"/>
        </w:rPr>
      </w:pPr>
      <w:r>
        <w:rPr>
          <w:rFonts w:ascii="Georgia" w:hAnsi="Georgia"/>
          <w:color w:val="000000"/>
          <w:sz w:val="20"/>
          <w:szCs w:val="20"/>
        </w:rPr>
        <w:t> </w:t>
      </w:r>
    </w:p>
    <w:p w14:paraId="6D427C41" w14:textId="77777777" w:rsidR="00BF779C" w:rsidRDefault="00BF779C"/>
    <w:sectPr w:rsidR="00BF7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36"/>
    <w:rsid w:val="000E2F70"/>
    <w:rsid w:val="003C50D8"/>
    <w:rsid w:val="00413B3A"/>
    <w:rsid w:val="00871F9C"/>
    <w:rsid w:val="009B7436"/>
    <w:rsid w:val="00BF779C"/>
    <w:rsid w:val="00DC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E4A6"/>
  <w15:chartTrackingRefBased/>
  <w15:docId w15:val="{582A39F4-67DC-4A22-90DF-B0E13BFC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4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436"/>
    <w:rPr>
      <w:color w:val="0000FF" w:themeColor="hyperlink"/>
      <w:u w:val="single"/>
    </w:rPr>
  </w:style>
  <w:style w:type="paragraph" w:styleId="NormalWeb">
    <w:name w:val="Normal (Web)"/>
    <w:basedOn w:val="Normal"/>
    <w:uiPriority w:val="99"/>
    <w:semiHidden/>
    <w:unhideWhenUsed/>
    <w:rsid w:val="009B7436"/>
    <w:pPr>
      <w:spacing w:before="100" w:beforeAutospacing="1" w:after="100" w:afterAutospacing="1"/>
    </w:pPr>
  </w:style>
  <w:style w:type="paragraph" w:customStyle="1" w:styleId="wp-caption-text">
    <w:name w:val="wp-caption-text"/>
    <w:basedOn w:val="Normal"/>
    <w:uiPriority w:val="99"/>
    <w:semiHidden/>
    <w:rsid w:val="009B7436"/>
    <w:pPr>
      <w:spacing w:before="100" w:beforeAutospacing="1" w:after="100" w:afterAutospacing="1"/>
    </w:pPr>
  </w:style>
  <w:style w:type="character" w:styleId="Strong">
    <w:name w:val="Strong"/>
    <w:basedOn w:val="DefaultParagraphFont"/>
    <w:uiPriority w:val="22"/>
    <w:qFormat/>
    <w:rsid w:val="009B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s-3A__foragefax.tamu.edu_2017_12_11_weed-2Dof-2Dthe-2Dweek-2Dthistles_dscf1504_&amp;d=DwMFaQ&amp;c=r_tSStIHV2ie60z4DgB-pQ&amp;r=AZopSgao0EhrwvgWJ5KqMSjRl0z902bDraOWjvsOYjA&amp;m=vvehPwOd4K86-pq2p0e2pJxiSmGYgqwmMdE8xa-E_y0&amp;s=kZ01oi5AztWY8wHyFC1pMxri5kK81yT2zVx6y_tkZOw&am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ldunn@ag.tamu.edu" TargetMode="External"/><Relationship Id="rId5" Type="http://schemas.openxmlformats.org/officeDocument/2006/relationships/hyperlink" Target="https://urldefense.proofpoint.com/v2/url?u=https-3A__foragefax.tamu.edu_-3Fattachment-5Fid-3D1148&amp;d=DwMFaQ&amp;c=r_tSStIHV2ie60z4DgB-pQ&amp;r=AZopSgao0EhrwvgWJ5KqMSjRl0z902bDraOWjvsOYjA&amp;m=vvehPwOd4K86-pq2p0e2pJxiSmGYgqwmMdE8xa-E_y0&amp;s=RfFFFKMmfWQLGlSG-0Gb-j5QMOy61pRwKF1eRtj-Kc8&amp;e=" TargetMode="External"/><Relationship Id="rId10" Type="http://schemas.openxmlformats.org/officeDocument/2006/relationships/image" Target="media/image3.jpeg"/><Relationship Id="rId4" Type="http://schemas.openxmlformats.org/officeDocument/2006/relationships/hyperlink" Target="mailto:jldunn@ag.tamu.edu" TargetMode="External"/><Relationship Id="rId9" Type="http://schemas.openxmlformats.org/officeDocument/2006/relationships/hyperlink" Target="https://urldefense.proofpoint.com/v2/url?u=https-3A__foragefax.tamu.edu_2013_02_18_weed-2Dof-2Dthe-2Dweek-2Dtexas-2Dgroundsel_2009-5F0401grazingschool0078_&amp;d=DwMFaQ&amp;c=r_tSStIHV2ie60z4DgB-pQ&amp;r=AZopSgao0EhrwvgWJ5KqMSjRl0z902bDraOWjvsOYjA&amp;m=vvehPwOd4K86-pq2p0e2pJxiSmGYgqwmMdE8xa-E_y0&amp;s=IhSPposatKaa-iEqlgRg2Jn-cYLZMf02p-wiX6O3bt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dc:creator>
  <cp:keywords/>
  <dc:description/>
  <cp:lastModifiedBy>Lane</cp:lastModifiedBy>
  <cp:revision>5</cp:revision>
  <dcterms:created xsi:type="dcterms:W3CDTF">2019-01-07T20:28:00Z</dcterms:created>
  <dcterms:modified xsi:type="dcterms:W3CDTF">2019-01-07T20:40:00Z</dcterms:modified>
</cp:coreProperties>
</file>